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100"/>
        <w:ind w:left="284" w:right="0" w:hanging="284"/>
        <w:jc w:val="righ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tLeast" w:line="100"/>
        <w:ind w:left="284" w:right="0" w:hanging="284"/>
        <w:jc w:val="righ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tLeast" w:line="100"/>
        <w:ind w:left="284" w:right="0" w:hanging="284"/>
        <w:jc w:val="righ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  <w:t>Załącznik 7a do SIWZ</w:t>
      </w:r>
    </w:p>
    <w:p>
      <w:pPr>
        <w:pStyle w:val="Normal"/>
        <w:bidi w:val="0"/>
        <w:spacing w:lineRule="atLeast" w:line="100"/>
        <w:ind w:left="284" w:right="0" w:hanging="284"/>
        <w:jc w:val="center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tLeast" w:line="100"/>
        <w:ind w:left="284" w:right="0" w:hanging="284"/>
        <w:jc w:val="center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  <w:t>Formularz asortymentowy</w:t>
      </w:r>
    </w:p>
    <w:p>
      <w:pPr>
        <w:pStyle w:val="ListParagraph"/>
        <w:bidi w:val="0"/>
        <w:spacing w:lineRule="atLeast" w:line="100"/>
        <w:ind w:left="705" w:right="0" w:hanging="0"/>
        <w:jc w:val="center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tabs>
          <w:tab w:val="clear" w:pos="449"/>
          <w:tab w:val="left" w:pos="0" w:leader="none"/>
        </w:tabs>
        <w:bidi w:val="0"/>
        <w:spacing w:lineRule="auto" w:line="360" w:before="0" w:after="0"/>
        <w:ind w:left="705" w:right="0" w:hanging="0"/>
        <w:jc w:val="center"/>
        <w:rPr>
          <w:rFonts w:ascii="Arial" w:hAnsi="Arial" w:cs="Times New Roman"/>
          <w:b/>
          <w:b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„</w:t>
      </w:r>
      <w:r>
        <w:rPr>
          <w:rFonts w:cs="Arial" w:ascii="Arial" w:hAnsi="Arial"/>
          <w:b/>
          <w:bCs/>
          <w:sz w:val="22"/>
          <w:szCs w:val="22"/>
        </w:rPr>
        <w:t>Sukcesywna d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ostawa środków chemicznych do uzdatniania wody basenowej”</w:t>
      </w:r>
    </w:p>
    <w:tbl>
      <w:tblPr>
        <w:tblW w:w="1456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0"/>
        <w:gridCol w:w="3169"/>
        <w:gridCol w:w="1246"/>
        <w:gridCol w:w="1353"/>
        <w:gridCol w:w="1390"/>
        <w:gridCol w:w="886"/>
        <w:gridCol w:w="1662"/>
        <w:gridCol w:w="1481"/>
        <w:gridCol w:w="1481"/>
        <w:gridCol w:w="1484"/>
      </w:tblGrid>
      <w:tr>
        <w:trPr/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Lp.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Opis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 xml:space="preserve">Ilość </w:t>
            </w: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opakowań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producenta/handlowa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 xml:space="preserve">Cena netto 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jednostkowa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Podatek VAT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Cena brutto jednostkowa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Wartość netto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 xml:space="preserve">Podatek VAT  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Wartość brutto</w:t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1.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uppressAutoHyphens w:val="false"/>
              <w:bidi w:val="0"/>
              <w:spacing w:lineRule="auto" w:line="276" w:before="0" w:after="0"/>
              <w:ind w:left="0" w:right="0" w:hanging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cs="Times New Roman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  <w:lang w:val="en-US"/>
              </w:rPr>
              <w:t>P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łynny, stabilny preparat chlorowy do dezynfekcji wody basenowej za pomocą pompy dozującej, zawiera: podchloryn sodowy, odporny na chlor sekwestrujący środek stabilizujący (zawiera ok. 16 % aktywnego chloru)</w:t>
            </w:r>
          </w:p>
          <w:p>
            <w:pPr>
              <w:pStyle w:val="Normal"/>
              <w:numPr>
                <w:ilvl w:val="0"/>
                <w:numId w:val="0"/>
              </w:numPr>
              <w:suppressAutoHyphens w:val="false"/>
              <w:bidi w:val="0"/>
              <w:spacing w:lineRule="auto" w:line="276" w:before="0" w:after="0"/>
              <w:ind w:left="0" w:right="0" w:hanging="0"/>
              <w:contextualSpacing/>
              <w:jc w:val="left"/>
              <w:rPr>
                <w:rFonts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  <w:lang w:val="en-US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  <w:lang w:val="en-US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[op. 35 kg]</w:t>
            </w:r>
          </w:p>
          <w:p>
            <w:pPr>
              <w:pStyle w:val="Zawartotabeli"/>
              <w:bidi w:val="0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428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2.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P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łynny środek o działaniu bakteriobójczym oraz grzybobójczym  przeznaczony do dezynfekcji wody w basenach kąpielowych; zawierający chloran sodu (podchloryn sodu), roztwór wodny, o zawartości chloru aktywnego min. 12,5% (150 g/dm3); 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[op. 1200 kg]</w:t>
            </w:r>
          </w:p>
          <w:p>
            <w:pPr>
              <w:pStyle w:val="Zawartotabeli"/>
              <w:bidi w:val="0"/>
              <w:jc w:val="center"/>
              <w:rPr>
                <w:rFonts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</w:pPr>
            <w:r>
              <w:rPr>
                <w:rFonts w:eastAsia="NSimSun" w:cs="Mang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pl-PL" w:eastAsia="zh-CN" w:bidi="hi-IN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 xml:space="preserve">13 op. 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3.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Preparat do redukcji zawarto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ści wolnego chloru, zawierający tiosiarczan sodu min. 95 %</w:t>
            </w:r>
          </w:p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[op. 5 kg]</w:t>
            </w:r>
          </w:p>
          <w:p>
            <w:pPr>
              <w:pStyle w:val="Zawartotabeli"/>
              <w:bidi w:val="0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6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4.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 xml:space="preserve">Tabletki o masie 20 g i 200 g do dezynfekcji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wody basenowej i chlorowania szokowego, zawierające kwas trichloroizocyjanurowy 75-100%</w:t>
            </w:r>
          </w:p>
          <w:p>
            <w:pPr>
              <w:pStyle w:val="Normal"/>
              <w:bidi w:val="0"/>
              <w:jc w:val="left"/>
              <w:rPr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[op. 5 kg]</w:t>
            </w:r>
          </w:p>
          <w:p>
            <w:pPr>
              <w:pStyle w:val="Zawartotabeli"/>
              <w:bidi w:val="0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6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>
          <w:trHeight w:val="1103" w:hRule="atLeast"/>
        </w:trPr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5.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Preparat chlorowy w postaci sta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łej (granulat) do dezynfekcji wody w basenach kąpielowych, zawierający podchloryn wapnia (chloran (I) wapnia) 100% (zawartość aktywnego chloru min. 70%)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[op. 45 kg]</w:t>
            </w:r>
          </w:p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 xml:space="preserve">7 op. 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6.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Silnie st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ężony środek do obniżania pH wody w basenie, zawierający kwas siarkowy (VI) 50%, środek płynny za pomocą dozowania automatycznego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[op. 35 kg]</w:t>
            </w:r>
          </w:p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120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7.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Silnie st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ężony środek do obniżania pH wody w basenie, zawierający kwas siarkowy (VI) 50%, środek płynny za pomocą dozowania automatycznego</w:t>
            </w:r>
          </w:p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em w:val="none"/>
              </w:rPr>
            </w:r>
          </w:p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[op. 30 kg]</w:t>
            </w:r>
          </w:p>
          <w:p>
            <w:pPr>
              <w:pStyle w:val="Zawartotabeli"/>
              <w:bidi w:val="0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330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8. 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Płynny środek do koagulacji wody basenowej; zawierający chlorek wodorotlenku glinu (hydroksychlorek glinu) 4-10% </w:t>
            </w:r>
          </w:p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[op. 30 kg]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76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9. 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Płynny środek do dezynfekcji wody w basenach kąpielowych, wykazujący działanie bakteriobójcze, grzybobójcze wobec grzybów drożdżowych oraz glonobójcze; substancja czynna: czwartorzędowy polimeryczny chlorek amonu min. 36%</w:t>
            </w:r>
          </w:p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[op. 30 kg]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86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Preparat do dezynfekcji wody pitnej spożywanej przez ludzi i zwierzęta, wykazujący działanie biobójcze przeciwko wirusom i bakteriom, zawierający substancję czynną ditlenek chloru 0,4-0,5%</w:t>
            </w:r>
          </w:p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[op. 10 kg]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Wysoko aktywny koncentrat do usuwania zabrudzeń organicznych takich jak: tłuszcze, oleje, sadze; zawierający wodorotlenek sodowy (5-10%), alkohole i glikole (2,5-10%); opakowanie </w:t>
            </w:r>
          </w:p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[op. 30 kg]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Preparat do czyszczenia niecek i plaż basenowych na basenach odkrytych, zawierający: kwas chlorowodorowy 10-25%, kwas fosforowy (V) 2,5-10%, biologicznie rozkładające się środki powierzchniowo czynne, inhibitory korozji</w:t>
            </w:r>
          </w:p>
          <w:p>
            <w:pPr>
              <w:pStyle w:val="Normal"/>
              <w:suppressAutoHyphens w:val="false"/>
              <w:bidi w:val="0"/>
              <w:spacing w:lineRule="auto" w:line="276" w:before="0" w:after="0"/>
              <w:contextualSpacing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[op. 10 kg]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21 op.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10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3169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246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353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390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6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lightGray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lightGray"/>
                <w:u w:val="none"/>
              </w:rPr>
              <w:t>RAZEM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4"/>
          <w:szCs w:val="24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4"/>
          <w:szCs w:val="24"/>
          <w:lang w:val="pl-PL" w:eastAsia="zxx" w:bidi="ar-SA"/>
        </w:rPr>
        <w:t>.................…., dnia ….......……….</w:t>
        <w:tab/>
        <w:tab/>
        <w:t xml:space="preserve">                                                                    ….......................................................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sz w:val="18"/>
          <w:szCs w:val="18"/>
        </w:rPr>
      </w:pPr>
      <w:r>
        <w:rPr>
          <w:rFonts w:eastAsia="Arial" w:cs="Arial" w:ascii="Arial" w:hAnsi="Arial"/>
          <w:color w:val="auto"/>
          <w:sz w:val="18"/>
          <w:szCs w:val="18"/>
          <w:lang w:val="pl-PL" w:eastAsia="zxx" w:bidi="ar-SA"/>
        </w:rPr>
        <w:tab/>
        <w:tab/>
        <w:tab/>
        <w:tab/>
        <w:tab/>
        <w:tab/>
        <w:tab/>
        <w:t xml:space="preserve">                                                                                                          </w:t>
      </w:r>
      <w:r>
        <w:rPr>
          <w:rFonts w:eastAsia="Times New Roman" w:cs="Arial" w:ascii="Arial" w:hAnsi="Arial"/>
          <w:color w:val="auto"/>
          <w:sz w:val="18"/>
          <w:szCs w:val="18"/>
          <w:lang w:val="pl-PL" w:eastAsia="zxx" w:bidi="ar-SA"/>
        </w:rPr>
        <w:t>(pieczątki imienne i podpisy osób uprawnionych</w:t>
      </w:r>
    </w:p>
    <w:p>
      <w:pPr>
        <w:pStyle w:val="Normal"/>
        <w:bidi w:val="0"/>
        <w:spacing w:lineRule="auto" w:line="360" w:before="0" w:after="0"/>
        <w:ind w:left="705" w:right="0" w:hanging="0"/>
        <w:jc w:val="both"/>
        <w:rPr/>
      </w:pPr>
      <w:r>
        <w:rPr>
          <w:rFonts w:eastAsia="Arial" w:cs="Arial" w:ascii="Arial" w:hAnsi="Arial"/>
          <w:b/>
          <w:color w:val="auto"/>
          <w:sz w:val="22"/>
          <w:szCs w:val="22"/>
          <w:lang w:val="pl-PL" w:eastAsia="zxx" w:bidi="ar-SA"/>
        </w:rPr>
        <w:tab/>
        <w:tab/>
        <w:tab/>
        <w:tab/>
        <w:tab/>
        <w:tab/>
        <w:tab/>
        <w:tab/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color w:val="auto"/>
          <w:sz w:val="18"/>
          <w:szCs w:val="18"/>
          <w:lang w:val="pl-PL" w:eastAsia="zxx" w:bidi="ar-SA"/>
        </w:rPr>
        <w:t>do reprezentowania wykonawcy)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4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0" w:right="0" w:hanging="0"/>
    </w:pPr>
    <w:rPr>
      <w:sz w:val="24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LibreOffice/6.3.4.2$Windows_X86_64 LibreOffice_project/60da17e045e08f1793c57c00ba83cdfce946d0aa</Application>
  <Pages>2</Pages>
  <Words>379</Words>
  <Characters>2377</Characters>
  <CharactersWithSpaces>2979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2019-10-30T13:56:44Z</dcterms:created>
  <dc:creator/>
  <dc:description/>
  <dc:language>pl-PL</dc:language>
  <cp:lastModifiedBy/>
  <cp:lastPrinted>2020-01-03T13:56:00Z</cp:lastPrinted>
  <dcterms:modified xsi:type="dcterms:W3CDTF">2020-02-19T14:53:20Z</dcterms:modified>
  <cp:revision>11</cp:revision>
  <dc:subject/>
  <dc:title/>
</cp:coreProperties>
</file>