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2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Times New Roman" w:cs="Arial" w:ascii="Arial" w:hAnsi="Arial"/>
          <w:b/>
          <w:bCs/>
          <w:color w:val="000000"/>
          <w:spacing w:val="0"/>
          <w:sz w:val="22"/>
          <w:szCs w:val="22"/>
          <w:shd w:fill="FFFFFF" w:val="clear"/>
          <w:lang w:val="pl-PL" w:eastAsia="zxx" w:bidi="ar-SA"/>
        </w:rPr>
        <w:t>Modernizacja budynku głównego Oddziału Rataje w zakresie elewacji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Rekreacji.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Podpis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LibreOffice/7.0.0.3$Windows_X86_64 LibreOffice_project/8061b3e9204bef6b321a21033174034a5e2ea88e</Application>
  <Pages>3</Pages>
  <Words>233</Words>
  <Characters>1898</Characters>
  <CharactersWithSpaces>2529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2020-10-21T13:28:22Z</dcterms:modified>
  <cp:revision>24</cp:revision>
  <dc:subject/>
  <dc:title/>
</cp:coreProperties>
</file>