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right"/>
        <w:rPr/>
      </w:pPr>
      <w:r>
        <w:rPr>
          <w:rFonts w:ascii="Arial" w:hAnsi="Arial"/>
        </w:rPr>
        <w:t>Załącznik nr 2 do SIWZ</w:t>
      </w:r>
    </w:p>
    <w:p>
      <w:pPr>
        <w:pStyle w:val="Tretekstu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OPIS TECHNICZNY SPRZĘTU</w:t>
      </w:r>
    </w:p>
    <w:p>
      <w:pPr>
        <w:pStyle w:val="Normal"/>
        <w:spacing w:lineRule="auto" w:line="360" w:before="0" w:after="0"/>
        <w:jc w:val="both"/>
        <w:rPr>
          <w:rFonts w:ascii="Arial" w:hAnsi="Arial"/>
          <w:b/>
          <w:b/>
          <w:bCs/>
        </w:rPr>
      </w:pPr>
      <w:r>
        <w:rPr>
          <w:rFonts w:eastAsia="Times New Roman" w:cs="Arial" w:ascii="Arial" w:hAnsi="Arial"/>
          <w:b/>
          <w:bCs/>
          <w:lang w:eastAsia="pl-PL"/>
        </w:rPr>
        <w:t>Modernizacja urządzeń elektronicznych stanowiących elementy infrastruktury Systemu Kontroli Biletów na Stadionie Miejskim przy ul. Bułgarskiej 17 w Poznaniu</w:t>
      </w:r>
    </w:p>
    <w:p>
      <w:pPr>
        <w:pStyle w:val="Tretekstu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3327" w:type="dxa"/>
        <w:jc w:val="left"/>
        <w:tblInd w:w="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49"/>
        <w:gridCol w:w="7377"/>
      </w:tblGrid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Oferowane rozwiązanie sprzętowe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Opis parametrów oferowanych (producent, model, wersja, parametry techniczne)</w:t>
            </w:r>
          </w:p>
        </w:tc>
      </w:tr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ind w:left="-15" w:hanging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lang w:eastAsia="pl-PL"/>
              </w:rPr>
              <w:t>Urządzenia służące do odczytu biletów (czytniki): 78 sztuk</w:t>
            </w:r>
          </w:p>
          <w:p>
            <w:pPr>
              <w:pStyle w:val="Normal"/>
              <w:widowControl w:val="false"/>
              <w:snapToGrid w:val="false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lang w:eastAsia="pl-PL"/>
              </w:rPr>
              <w:t>Sygnalizatory świetlne, informacyjne: 78 sztuk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spacing w:lineRule="auto" w:line="360" w:before="0" w:after="1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ind w:left="-15" w:hanging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lang w:eastAsia="pl-PL"/>
              </w:rPr>
              <w:t>Komputery typu miniPC: 28 sztuk</w:t>
            </w:r>
          </w:p>
          <w:p>
            <w:pPr>
              <w:pStyle w:val="Normal"/>
              <w:widowControl w:val="false"/>
              <w:snapToGrid w:val="false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ind w:left="-15" w:hanging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lang w:eastAsia="pl-PL"/>
              </w:rPr>
              <w:t>Przełączniki sieciowe: 28 sztuk</w:t>
            </w:r>
          </w:p>
          <w:p>
            <w:pPr>
              <w:pStyle w:val="Normal"/>
              <w:widowControl w:val="false"/>
              <w:snapToGrid w:val="false"/>
              <w:spacing w:lineRule="auto" w:line="3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ind w:left="-15" w:hanging="0"/>
              <w:rPr>
                <w:rFonts w:ascii="Arial" w:hAnsi="Arial" w:eastAsia="Calibri"/>
                <w:color w:val="000000"/>
              </w:rPr>
            </w:pPr>
            <w:r>
              <w:rPr>
                <w:rFonts w:eastAsia="Calibri" w:ascii="Arial" w:hAnsi="Arial"/>
                <w:color w:val="000000"/>
              </w:rPr>
              <w:t>Serwery: 2 sztuki</w:t>
            </w:r>
          </w:p>
          <w:p>
            <w:pPr>
              <w:pStyle w:val="Normal"/>
              <w:widowControl w:val="false"/>
              <w:snapToGrid w:val="false"/>
              <w:spacing w:lineRule="auto" w:line="3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tLeast" w:line="100" w:before="0" w:after="160"/>
              <w:ind w:left="-15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Style w:val="Tabela-Siatka"/>
        <w:tblW w:w="13325" w:type="dxa"/>
        <w:jc w:val="left"/>
        <w:tblInd w:w="2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86"/>
        <w:gridCol w:w="6738"/>
      </w:tblGrid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  <w:t>Wymagania Zamawiającego z OPZ będące parametrami granicznymi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360" w:hanging="0"/>
              <w:contextualSpacing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pl-PL" w:eastAsia="en-US" w:bidi="ar-SA"/>
              </w:rPr>
              <w:t>Potwierdzenie spełnienia wymagań przez rozwiązanie techniczne oferowane przez Wykonawcę – opis sprzętu i rozwiązań oferowanych przez Wykonawcę</w:t>
            </w:r>
          </w:p>
        </w:tc>
      </w:tr>
      <w:tr>
        <w:trPr/>
        <w:tc>
          <w:tcPr>
            <w:tcW w:w="1332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Cs w:val="22"/>
                <w:lang w:val="pl-PL" w:eastAsia="pl-PL" w:bidi="ar-SA"/>
              </w:rPr>
              <w:t>Urządzenie służące do odczytu biletów (“Czytnik”)</w:t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Urządzenie elektroniczne służące do odczytu biletów musi być dedykowanym urządzeniem przystosowanym do pracy w warunkach charakterystycznych dla imprez masowych organizowanych na powietrzu pod zadaszeniem przez cały rok. Urządzenie musi umożliwiać odczyt wszystkich popularnych rodzajów biletów występujących na rynku takich jak: bilety termiczne, bilety papierowe typu Print@Home, bilety wyświetlane na ekranach urządzeń mobilnych oraz elektroniczne karty zbliżeniowe i bilety z telefonów komórkowych z wykorzystaniem komunikacji NFC. Odczyt biletu z ekranu telefonu komórkowego następuje poprzez wsunięcie go w szczelinę czytnika w taki sposób aby światło słoneczne nie utrudniało odczytu. Rozmiar otworu musi pozwalać na użycie urządzeń mobilnych o maksymalnej przekątnej ekranu 8’’ (słownie: osiem cali) oraz 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grubości 16mm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ascii="Arial" w:hAnsi="Arial"/>
                <w:kern w:val="0"/>
                <w:szCs w:val="22"/>
                <w:lang w:val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zasilane poprzez standard POE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802.3af),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POE+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802.3at)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lub POE++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 xml:space="preserve"> ( IEEE 802.3bt (Type 3))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zakres pracy w temperaturach od -20 °C do +50 °C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umożliwiać odczyt kodów kreskowych 1D i 2D w szczególności typu: PDF417, QR code, EAN, Code39, Code128 oraz kart zbliżeniowych pracujących z częstotliwością 13,56 MHz ( ISO 14443 części 1-4 typu A i B, MIFARE® Classic )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komunikacja z wykorzystaniem NFC w trybie emulacji Mifare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sekwencyjny odczyt biletów w odstępach nie dłuższych niż 2sek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komunikacja z innymi urządzeniami wchodzącymi w skład Systemu Kontroli Biletów musi odbywać się poprzez sieć LAN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być wyposażone w ekran graficzny o minimalnej przekątnej 7’ (siedem cali) umieszczony w miejscu widocznym dla osoby wchodzącej z biletem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być wyposażone w sygnalizator dźwiękowy informujący o statusie odczytywanego biletu (minimum 3 sygnały o różnej modulacji umożliwiające rozpoznanie statusu biletu) urządzenie musi dysponować pamięcią pozwalającą na przechowanie danych odpowiadających liczbie biletów równej pojemności stadionu na, którym odbywa się jego montaż – 42 000 miejsc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dysponować pamięcią pozwalającą na przechowanie danych odpowiadających liczbie biletów równej pojemności stadionu na, którym odbywa się jego montaż – 42 000 miejsc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wszystkie komponenty składające się na urządzenie czytające muszą być zamontowane w sposób zapewniający szczelność na poziomie co najmniej IP5, zgodnie z </w:t>
            </w:r>
            <w:r>
              <w:rPr>
                <w:rFonts w:eastAsia="Calibri" w:cs="Arial" w:ascii="Arial" w:hAnsi="Arial"/>
                <w:kern w:val="0"/>
                <w:szCs w:val="22"/>
                <w:lang w:val="pl-PL" w:eastAsia="en-US" w:bidi="ar-SA"/>
              </w:rPr>
              <w:t>PN-EN 60529:2003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montaż czytnika powinien zostać przeprowadzony z wykorzystaniem istniejącej obecnie na obiekcie przy                          ul. Bułgarskiej 17 stalowej obudowy czytnika w taki sposób aby dostarczane urządzenie mogło zostać zamontowane w otworze istniejącej obudowy z wykorzystaniem aktualnych otworów montażowych, w konstrukcji bramki obrotowej z uwagi na uniknięcie dodatkowych nawiertów zwiększających ryzyko eksploatacyjne 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czytnik musi współpracować z wysokimi bramkami obrotowymi zamontowanymi na obiekcie firmy KABA. Działanie czytnika powinno polegać na elektronicznym sterowaniu otwarciem i zamknięciem kołowrotu po poprawnym odczycie ważnego biletu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czytnik musi współpracować z oprogramowaniem, którym dysponuje dzierżawca Stadionu - System Kontroli Biletów “RAC” 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cs="Arial" w:ascii="Arial" w:hAnsi="Arial"/>
                <w:kern w:val="0"/>
                <w:szCs w:val="22"/>
                <w:lang w:val="pl-PL" w:bidi="ar-SA"/>
              </w:rPr>
              <w:t>wyświetlacz w dostarczanych czytnikach ma być kolorowym wyświetlaczem LCD TFT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cs="Arial" w:ascii="Arial" w:hAnsi="Arial"/>
                <w:kern w:val="0"/>
                <w:szCs w:val="22"/>
                <w:lang w:val="pl-PL" w:bidi="ar-SA"/>
              </w:rPr>
              <w:t>minimalna rozdzielczość wyświetlacza czytników 1024x600 px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cs="Arial" w:ascii="Arial" w:hAnsi="Arial"/>
                <w:kern w:val="0"/>
                <w:szCs w:val="22"/>
                <w:lang w:val="pl-PL" w:bidi="ar-SA"/>
              </w:rPr>
              <w:t>czytnik ma posiadać możliwość wyświetlania sekwencji video na wyświetlaczu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cs="Arial" w:ascii="Arial" w:hAnsi="Arial"/>
                <w:kern w:val="0"/>
                <w:szCs w:val="22"/>
                <w:lang w:val="pl-PL" w:bidi="ar-SA"/>
              </w:rPr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1332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Cs w:val="22"/>
                <w:lang w:val="pl-PL" w:eastAsia="pl-PL" w:bidi="ar-SA"/>
              </w:rPr>
              <w:t>Sygnalizator świetlny informacyjny</w:t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emitować sygnały świetlne dostrzegalne z odległości maksymalnie 5 metrów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>
          <w:trHeight w:val="568" w:hRule="atLeast"/>
        </w:trPr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kolorystyka sygnałów musi umożliwiać wizualne zaprezentowanie informacji, o co najmniej 4 różnych stanach (np. zielony, czerwony, pomarańczowy, biały)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>
          <w:trHeight w:val="568" w:hRule="atLeast"/>
        </w:trPr>
        <w:tc>
          <w:tcPr>
            <w:tcW w:w="6586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posiadać interfejs komunikacyjny pozwalający na odbieranie w trybie rzeczywistym zdarzeń związanych z odczytem biletu w celu przetworzenia ich na sygnał świetlny</w:t>
            </w:r>
          </w:p>
        </w:tc>
        <w:tc>
          <w:tcPr>
            <w:tcW w:w="673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>
          <w:trHeight w:val="568" w:hRule="atLeast"/>
        </w:trPr>
        <w:tc>
          <w:tcPr>
            <w:tcW w:w="6586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kern w:val="0"/>
                <w:szCs w:val="22"/>
                <w:lang w:val="pl-PL" w:bidi="ar-SA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urządzenie musi zostać zainstalowane w miejscu widocznym dla pracowników obsługi po wewnętrznej stronie bramki obrotowej</w:t>
            </w:r>
          </w:p>
        </w:tc>
        <w:tc>
          <w:tcPr>
            <w:tcW w:w="673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zasilanie poprzez POE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802.3af),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POE+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802.3at)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lub POE++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 xml:space="preserve"> (IEEE 802.3bt (Type 3))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obudowa urządzenia powinna zapewnić szczelność na poziomie co najmniej IP55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wymiary nie przekraczające 200x80x50mm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332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Cs w:val="22"/>
                <w:lang w:val="pl-PL" w:eastAsia="pl-PL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Cs w:val="22"/>
                <w:lang w:val="pl-PL" w:eastAsia="pl-PL" w:bidi="ar-SA"/>
              </w:rPr>
              <w:t>Komputer typu miniPC</w:t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procesor dwurdzeniowy z serii Intel Apollo Lake lub równoważny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zasilanie przez POE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802.3af),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POE+ (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>IEEE 802.3at)</w:t>
            </w: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 xml:space="preserve"> lub POE++</w:t>
            </w:r>
            <w:r>
              <w:rPr>
                <w:rFonts w:eastAsia="Times New Roman" w:cs="Arial" w:ascii="Arial" w:hAnsi="Arial"/>
                <w:color w:val="222222"/>
                <w:kern w:val="0"/>
                <w:szCs w:val="22"/>
                <w:shd w:fill="FFFFFF" w:val="clear"/>
                <w:lang w:val="pl-PL" w:eastAsia="pl-PL" w:bidi="ar-SA"/>
              </w:rPr>
              <w:t xml:space="preserve"> (IEEE 802.3bt (Type 3))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dysk M.2 SATA min. 32 GB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pamięć RAM min. 4 GB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praca w temperaturze -20 °C do +50 °C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chłodzenie pasywne bezwentylatorowe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zegar RTC podtrzymywany bateryjnie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dwa porty komunikacyjne LAN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wsparcie dla systemów operacyjnych Windows 10/Linux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wymiary nie większe niż: 150 x 150 x 50 mm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uchwyty umożliwiające montaż na płycie montażowej oraz szynie DIN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3324" w:type="dxa"/>
            <w:gridSpan w:val="2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contextualSpacing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pl-PL" w:eastAsia="en-US" w:bidi="ar-SA"/>
              </w:rPr>
              <w:t>Przełącznik sieciowy</w:t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360" w:before="0" w:after="0"/>
              <w:jc w:val="both"/>
              <w:outlineLvl w:val="1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przełącznik powinien oferować pełną zarządzalność w szczególności aktywację/dezaktywację zasilania poszczególnych portów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360" w:before="0" w:after="0"/>
              <w:jc w:val="both"/>
              <w:outlineLvl w:val="1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dostęp do urządzenia musi być możliwy poprzez graficzny interfejs użytkownika oraz interfejs programistycznego linii komend (CLI) z wykorzystaniem protokołu SSH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en-GB" w:eastAsia="pl-PL" w:bidi="ar-SA"/>
              </w:rPr>
              <w:t>8 portów Gigabit Ethernet RJ452 porty SFP+/SFP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2 porty SFP+/SFP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zasilanie POE+ IEEE 802.3at/af and 24V Passive PoE na wszystkich portach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uchwyty umożliwiające montaż na płycie montażowej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3324" w:type="dxa"/>
            <w:gridSpan w:val="2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pl-PL" w:eastAsia="en-US" w:bidi="ar-SA"/>
              </w:rPr>
              <w:t>Serwer</w:t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procesor o parametrach odpowiadających minimum Intel® Xeon® Silver 4100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płyta główna pozwalająca na obsługę co najmniej dwóch procesorów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sprzętowy kontroler RAID z możliwością podłączenia od 2 do 4 dysków w konfiguracji RAID-0, RAID-1, RAID-10 lub RAID-50 z podtrzymaniem bateryjnym i własną pamięcią o rozmiarze minimum 1 GB umożliwiający obsługę dysków hot-swap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możliwość montażu dysków HDD, SSD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minimalnie 2 dyski o pojemności 300 GB każdy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pamięć operacyjna DDR4 z możliwością instalacji minimum 8 modułów pamięci zarejestrowanych z funkcją ECC, płyta główna musi umożliwiać obsługę minimum 128 GB pamięci RAM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minimalna pojemność pamięci RAM powinna wynosić 16GB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karta sieciowa z co najmniej dwoma wyjściami o prędkości 1 GbE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możliwość pracy z systemem operacyjnym Linux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obudowa rack umożliwiająca montaż w szafie serwerowej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58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textAlignment w:val="baseline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Cs w:val="22"/>
                <w:lang w:val="pl-PL" w:eastAsia="pl-PL" w:bidi="ar-SA"/>
              </w:rPr>
              <w:t>konsola zarządzania serwerem dostarczona przez jego producenta</w:t>
            </w:r>
          </w:p>
        </w:tc>
        <w:tc>
          <w:tcPr>
            <w:tcW w:w="673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</w:rPr>
        <w:t>.................…., dnia ….......……….</w:t>
        <w:tab/>
        <w:tab/>
        <w:t xml:space="preserve">                                                                                       ….......................................................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eastAsia="Arial" w:cs="Arial" w:ascii="Arial" w:hAnsi="Arial"/>
        </w:rPr>
        <w:tab/>
        <w:tab/>
        <w:tab/>
        <w:tab/>
        <w:tab/>
        <w:tab/>
        <w:tab/>
        <w:t xml:space="preserve">                                                                      </w:t>
      </w:r>
      <w:r>
        <w:rPr>
          <w:rFonts w:cs="Arial" w:ascii="Arial" w:hAnsi="Arial"/>
        </w:rPr>
        <w:t>(pieczątki imienne i podpisy osób uprawnionych</w:t>
      </w:r>
    </w:p>
    <w:p>
      <w:pPr>
        <w:pStyle w:val="Normal"/>
        <w:snapToGrid w:val="false"/>
        <w:spacing w:lineRule="auto" w:line="360" w:before="0" w:after="160"/>
        <w:jc w:val="both"/>
        <w:rPr/>
      </w:pPr>
      <w:r>
        <w:rPr>
          <w:rFonts w:eastAsia="Arial" w:cs="Arial" w:ascii="Arial" w:hAnsi="Arial"/>
        </w:rPr>
        <w:tab/>
        <w:tab/>
        <w:tab/>
        <w:tab/>
        <w:tab/>
        <w:tab/>
        <w:tab/>
        <w:t xml:space="preserve">                                                                          </w:t>
        <w:tab/>
      </w:r>
      <w:r>
        <w:rPr>
          <w:rFonts w:cs="Arial" w:ascii="Arial" w:hAnsi="Arial"/>
        </w:rPr>
        <w:t>do reprezentowania wykonawcy)</w:t>
      </w:r>
    </w:p>
    <w:sectPr>
      <w:type w:val="nextPage"/>
      <w:pgSz w:orient="landscape" w:w="16838" w:h="11906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91db4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91db4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64a73"/>
    <w:rPr>
      <w:rFonts w:ascii="Times New Roman" w:hAnsi="Times New Roman" w:cs="Times New Roman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991db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847e4"/>
    <w:pPr>
      <w:spacing w:lineRule="auto" w:line="240" w:before="0" w:after="0"/>
      <w:ind w:left="720" w:hanging="0"/>
      <w:contextualSpacing/>
    </w:pPr>
    <w:rPr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991db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4a73"/>
    <w:pPr>
      <w:spacing w:lineRule="auto" w:line="240" w:before="0" w:after="0"/>
    </w:pPr>
    <w:rPr>
      <w:rFonts w:ascii="Times New Roman" w:hAnsi="Times New Roman" w:cs="Times New Roman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847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0" ma:contentTypeDescription="Utwórz nowy dokument." ma:contentTypeScope="" ma:versionID="07d1ee2f5f64690730ddc65adbec330f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b8c97c89374f5a878eb62d2c0e5850b3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661BE-C9CC-4F9A-8B9B-04D21DB3F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E8BE5C-BDB5-446A-A638-211EC413F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43D0CB-51C5-45DE-B02E-9E16F12FC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LibreOffice/7.0.2.2$Windows_X86_64 LibreOffice_project/8349ace3c3162073abd90d81fd06dcfb6b36b994</Application>
  <Pages>8</Pages>
  <Words>902</Words>
  <Characters>5981</Characters>
  <CharactersWithSpaces>7089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2020-11-16T10:00:00Z</dcterms:created>
  <dc:creator>Paweł Świderski</dc:creator>
  <dc:description/>
  <dc:language>pl-PL</dc:language>
  <cp:lastModifiedBy/>
  <cp:lastPrinted>2020-11-17T08:39:31Z</cp:lastPrinted>
  <dcterms:modified xsi:type="dcterms:W3CDTF">2020-11-17T08:39:42Z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0x01010021A03B4854A1D0438FE33930BC6E6FF2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