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Załącznik nr 1 do SIWZ</w:t>
      </w:r>
    </w:p>
    <w:p>
      <w:pPr>
        <w:pStyle w:val="Normal"/>
        <w:spacing w:lineRule="auto" w:line="360" w:before="0" w:after="0"/>
        <w:jc w:val="right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eastAsia="Times New Roman" w:cs="Arial"/>
          <w:b/>
          <w:b/>
          <w:bCs/>
          <w:lang w:eastAsia="pl-PL"/>
        </w:rPr>
      </w:pPr>
      <w:r>
        <w:rPr>
          <w:rFonts w:eastAsia="Times New Roman" w:cs="Arial" w:ascii="Arial" w:hAnsi="Arial"/>
          <w:b/>
          <w:bCs/>
          <w:lang w:eastAsia="pl-PL"/>
        </w:rPr>
        <w:t>Opis przedmiotu zamówienia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bCs/>
          <w:lang w:eastAsia="pl-PL"/>
        </w:rPr>
        <w:t>zadanie: Modernizacja urządzeń elektronicznych stanowiących elementy infrastruktury Systemu Kontroli Biletów na Stadionie Miejskim przy ul. Bułgarskiej 17 w Poznaniu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1. W ramach realizacji zadania Wykonawca zobowiązany jest do: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a) dostawy: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- urządzeń służących do odczytu biletów (czytnik): 78 sztuk,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- sygnalizatorów świetlnych informacyjnych: 78 sztuk,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- komputerów typu miniPC: 28 sztuk,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- przełączników sieciowych: 28 sztuk,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- serwerów: 2 sztuki.</w:t>
      </w:r>
    </w:p>
    <w:p>
      <w:pPr>
        <w:pStyle w:val="Normal"/>
        <w:spacing w:lineRule="auto" w:line="360" w:before="0" w:after="60"/>
        <w:jc w:val="both"/>
        <w:rPr>
          <w:rFonts w:ascii="Arial" w:hAnsi="Arial"/>
        </w:rPr>
      </w:pPr>
      <w:r>
        <w:rPr>
          <w:rFonts w:ascii="Arial" w:hAnsi="Arial"/>
        </w:rPr>
        <w:t>b) d</w:t>
      </w:r>
      <w:r>
        <w:rPr>
          <w:rFonts w:eastAsia="Times New Roman" w:cs="Arial" w:ascii="Arial" w:hAnsi="Arial"/>
          <w:color w:val="000000"/>
          <w:lang w:eastAsia="pl-PL"/>
        </w:rPr>
        <w:t xml:space="preserve">emontażu istniejących urządzeń elektronicznych służących do odczytu biletów na Stadionie Miejskim w Poznaniu przy ul. Bułgarskiej 17, </w:t>
      </w:r>
    </w:p>
    <w:p>
      <w:pPr>
        <w:pStyle w:val="Normal"/>
        <w:spacing w:lineRule="auto" w:line="360" w:before="0" w:after="6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c) instalacji urządzeń elektronicznych na Stadionie w oparciu o istniejącą infrastrukturę Systemu Kontroli Biletów wraz z rewitalizacją pozostawianych (niepodlegających demontażowi) elementów systemu – opis dotychczasowej infrastruktury stanowi dokumentacja powykonawcza z montażu systemu kontroli biletów (kwiecień 2010 rok). Dokumentacja stanowi załącznik nr 1a do Specyfikacji,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d) wparcia technicznego i serwisowego w okresie wdrożenia Systemu Kontroli Biletów na dostarczonych urządzeniach.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>2. Wymagania sprzętowe: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Arial" w:ascii="Arial" w:hAnsi="Arial"/>
          <w:b/>
          <w:bCs/>
          <w:color w:val="000000"/>
          <w:kern w:val="2"/>
          <w:lang w:eastAsia="pl-PL"/>
        </w:rPr>
        <w:t xml:space="preserve">a) </w:t>
      </w:r>
      <w:r>
        <w:rPr>
          <w:rFonts w:eastAsia="Times New Roman" w:cs="Arial" w:ascii="Arial" w:hAnsi="Arial"/>
          <w:b/>
          <w:bCs/>
          <w:color w:val="000000"/>
          <w:lang w:eastAsia="pl-PL"/>
        </w:rPr>
        <w:t>Urządzenie służące do odczytu biletów (“Czytnik”):</w:t>
      </w:r>
      <w:r>
        <w:rPr>
          <w:rFonts w:eastAsia="Times New Roman" w:cs="Arial" w:ascii="Arial" w:hAnsi="Arial"/>
          <w:color w:val="000000"/>
          <w:lang w:eastAsia="pl-PL"/>
        </w:rPr>
        <w:br/>
        <w:t>Urządzenie elektroniczne służące do odczytu biletów musi być dedykowanym urządzeniem przystosowanym do pracy w warunkach charakterystycznych dla imprez masowych organizowanych na powietrzu pod zadaszeniem przez cały rok. Urządzenie musi umożliwiać odczyt wszystkich popularnych rodzajów biletów występujących na rynku takich jak: bilety termiczne, bilety papierowe typu Print@Home, bilety wyświetlane na ekranach urządzeń mobilnych oraz elektroniczne karty zbliżeniowe i z telefonów komórkowych z wykorzystaniem komunikacji NFC. Odczyt biletu z ekranu telefonu komórkowego następuje poprzez wsunięcie go w szczelinę czytnika w taki sposób aby światło słoneczne nie utrudniało odczytu. Rozmiar otworu musi pozwalać na użycie urządzeń mobilnych o maksymalnej przekątnej ekranu 8’’ (słownie: osiem cali) oraz grubości 16mm.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240" w:before="0" w:after="0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Specyfikacja techniczna urządzeń: 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zasilane poprzez standard POE (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IEEE 802.3af),</w:t>
      </w:r>
      <w:r>
        <w:rPr>
          <w:rFonts w:eastAsia="Times New Roman" w:cs="Arial" w:ascii="Arial" w:hAnsi="Arial"/>
          <w:color w:val="000000"/>
          <w:lang w:eastAsia="pl-PL"/>
        </w:rPr>
        <w:t xml:space="preserve"> POE+ (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IEEE 802.3at)</w:t>
      </w:r>
      <w:r>
        <w:rPr>
          <w:rFonts w:eastAsia="Times New Roman" w:cs="Arial" w:ascii="Arial" w:hAnsi="Arial"/>
          <w:color w:val="000000"/>
          <w:lang w:eastAsia="pl-PL"/>
        </w:rPr>
        <w:t xml:space="preserve"> lub POE++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 xml:space="preserve"> ( IEEE 802.3bt (Type 3))</w:t>
      </w:r>
      <w:r>
        <w:rPr>
          <w:rFonts w:eastAsia="Times New Roman" w:cs="Arial" w:ascii="Arial" w:hAnsi="Arial"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zakres pracy w temperaturach od -20 °C do +50 °C;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musi umożliwiać odczyt kodów kreskowych 1D i 2D w szczególności typu: PDF417, QR code, EAN, Code39, Code128 oraz kart zbliżeniowych pracujących z częstotliwością 13,56 MHz ( ISO 14443 części 1-4 typu A i B, MIFARE® Classic );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komunikacja z wykorzystaniem NFC w trybie emulacji Mifare;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sekwencyjny odczyt biletów w odstępach nie dłuższych niż 2sek;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komunikacja z innymi urządzeniami wchodzącymi w skład Systemu Kontroli Biletów musi odbywać się poprzez sieć LAN;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urządzenie musi być wyposażone w ekran graficzny o minimalnej przekątnej 7’ (siedem cali) umieszczony w miejscu widocznym dla osoby wchodzącej z biletem;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urządzenie musi być wyposażone w sygnalizator dźwiękowy informujący o statusie odczytywanego biletu (minimum 3 sygnały o różnej modulacji umożliwiające rozpoznanie statusu biletu);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urządzenie musi dysponować pamięcią pozwalającą na przechowanie danych odpowiadających liczbie biletów równej pojemności stadionu na, którym odbywa się jego montaż – 42 000 tysiące miejsc;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wszystkie komponenty składające się na urządzenie czytające muszą być zamontowane w sposób zapewniający szczelność na poziomie co najmniej IP5, zgodnie z </w:t>
      </w:r>
      <w:r>
        <w:rPr>
          <w:rFonts w:cs="Arial" w:ascii="Arial" w:hAnsi="Arial"/>
        </w:rPr>
        <w:t>PN-EN 60529:2003;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cs="Arial" w:ascii="Arial" w:hAnsi="Arial"/>
        </w:rPr>
        <w:t>wyświetlacz w dostarczanych czytnikach ma być kolorowym wyświetlaczem LCD TFT;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cs="Arial" w:ascii="Arial" w:hAnsi="Arial"/>
        </w:rPr>
        <w:t>minimalna rozdzielczość wyświetlacza czytników 1024x600 px;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cs="Arial" w:ascii="Arial" w:hAnsi="Arial"/>
        </w:rPr>
        <w:t>czytnik ma posiadać możliwość wyświetlania sekwencji video na wyświetlaczu.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Montaż czytnika powinien zostać przeprowadzony z wykorzystaniem istniejącej obecnie na obiekcie przy ul. Bułgarskiej 17 stalowej obudowy czytnika w taki sposób aby dostarczane urządzenie mogło zostać zamontowane w otworze istniejącej obudowy z wykorzystaniem aktualnych otworów montażowych w konstrukcji bramki obrotowej z uwagi na uniknięcie dodatkowych nawiertów zwiększających ryzyko eksploatacyjne. Zamawiający wymaga aby istniejące obudowy stalowe zamontowane  w obrębie istniejącej infrastruktury stadionu przy ul. Bułgarskiej 17 w Poznaniu zostały poddane procesowi renowacji polegającemu na: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- demontażu obudowy stalowej;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- oczyszczeniu starej powłoki malarskiej;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- pomalowaniu czytników metodą proszkową - kolor RAL 7012;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- ponownym zamontowaniu ich w miejscu demontażu.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  <w:t>Czytnik musi współpracować z wysokimi bramkami obrotowymi zamontowanymi na obiekcie firmy KABA (dane techniczne w Załączniku nr 1a). Działanie Czytnika powinno polegać na elektronicznym sterowaniu otwarciem i zamknięciem kołowrotu po poprawnym odczycie ważnego biletu. 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b/>
          <w:bCs/>
          <w:color w:val="000000"/>
          <w:lang w:eastAsia="pl-PL"/>
        </w:rPr>
        <w:t>Czytnik musi współpracować z oprogramowaniem, którym dysponuje dzierżawca Stadionu tj. klub KKS Lech Poznań.  Oprogramowanie, którym dysponuje dzierżawca to: SYSTEM RAC ROBOTICKET.</w:t>
      </w:r>
      <w:r>
        <w:rPr>
          <w:rFonts w:eastAsia="Times New Roman" w:cs="Arial" w:ascii="Arial" w:hAnsi="Arial"/>
          <w:color w:val="000000"/>
          <w:lang w:eastAsia="pl-PL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000000"/>
          <w:lang w:eastAsia="pl-PL"/>
        </w:rPr>
        <w:t xml:space="preserve">System Kontroli Biletów “RAC”, którym dysponuje KKS Lech Poznań jest dedykowanym rozwiązaniem stadionowym oraz gwarantuje wysoki poziom bezpieczeństwa i organizacji, na obiekcie biletowanej imprezy masowej w tym także imprezy „wysokiego ryzyka”. SKB “RAC” zapewnia wielostopniowy mechanizm replikacji danych zapewniający nieprzerwane działanie nawet w przypadku utraty głównych połączeń sieciowych lub awarii głównego serwera sterującego, a także umożliwi kontrolę biletów nie tylko z wykorzystaniem czytników stacjonarnych, ale także czytników przenośnych (urządzenia typu handheld oparte o system operacyjny Android). </w:t>
      </w:r>
      <w:r>
        <w:rPr>
          <w:rFonts w:ascii="Arial" w:hAnsi="Arial"/>
        </w:rPr>
        <w:t>Koncepcja systemu RAC oparta jest na trójwarstwowej architekturze serwer-kontroler-czytnik, zapewnia ciągłość pracy w przypadku awarii sieci lokalnej lub fizycznego uszkodzenia serwerów. Zainstalowanie pary czytnik-kontroler w bezpośredniej bliskości, umożliwi pracę czytników bez połączenia z serwerem (na wypadek awarii). Dwa serwery zlokalizowane w osobnych serwerowniach pracują w trybie master-slave replikując dane na zasadzie dziennika zdarzeń, w przypadku awarii istnieje możliwość natychmiastowej zmiany serwera z roli slave na master. System Kontroli Biletów RAC jest przystosowany do wszelkich wymagań stawianych obiektom wielofunkcyjnym jakim są stadiony, co oznacza, że spełnia wymagania stawiane przy rozgrywkach piłkarskich jak i innych imprezach masowych. System RAC został przystosowany do użytkowania zgodnie z aktualną ustawą o bezpieczeństwie imprez masowych, zintegrowany z Centralną Bazą Danych Kibiców PZPN (CBDK) oraz Systemem Centralnym Kibic Ekstraklasa S.A. (SCK).  System RAC spełnia wszystkie aktualne wymagania UEFA oraz PZPN oraz jest dostosowany do dalszego rozwoju w zakresie przyszłych nowych wymagań lub wytycznych  Ekstraklasy/PZPN/UEFA/FIFA.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  <w:t>Przed montażem nowych urządzeń Wykonawca dokona demontażu istniejących urządzeń służących do odczytu biletu, co zostanie potwierdzone protokołem zdawczo-odbiorczym. Wykonawca złoży zdemontowane urządzenia w magazynie wskazanym przez Zamawiającego, znajdującego się na terenie Stadionu przy przy ul. Bułgarskiej 17 w Poznaniu. 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Wymiary obudowy i panelu frontowego określone zostały w załączniku do niniejszego dokumentu.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</w:rPr>
      </w:pPr>
      <w:r>
        <w:rPr>
          <w:rFonts w:eastAsia="Times New Roman" w:cs="Arial" w:ascii="Arial" w:hAnsi="Arial"/>
          <w:b/>
          <w:bCs/>
          <w:color w:val="000000"/>
          <w:lang w:eastAsia="pl-PL"/>
        </w:rPr>
        <w:t>b) Sygnalizator świetlny informacyjny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000000"/>
          <w:lang w:eastAsia="pl-PL"/>
        </w:rPr>
        <w:t>Urządzenie musi emitować sygnały świetlne dostrzegalne z odległości maksymalnie                     5 metrów. Kolorystyka sygnałów musi umożliwiać wizualne zaprezentowanie informacji, o co najmniej 4 różnych stanach (np. zielony, czerwony, pomarańczowy, biały). Urządzenie musi posiadać interfejs komunikacyjny pozwalający na odbieranie w trybie rzeczywistym zdarzeń związanych z odczytem biletu w celu przetworzenia ich na sygnał świetlny.  Urządzenie musi zostać zainstalowane w miejscu widocznym dla pracowników obsługi po wewnętrznej stronie bramki obrotowej.</w:t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Specyfikacja techniczna:</w:t>
      </w:r>
    </w:p>
    <w:p>
      <w:pPr>
        <w:pStyle w:val="Normal"/>
        <w:numPr>
          <w:ilvl w:val="0"/>
          <w:numId w:val="2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Zasilanie poprzez POE (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IEEE 802.3af),</w:t>
      </w:r>
      <w:r>
        <w:rPr>
          <w:rFonts w:eastAsia="Times New Roman" w:cs="Arial" w:ascii="Arial" w:hAnsi="Arial"/>
          <w:color w:val="000000"/>
          <w:lang w:eastAsia="pl-PL"/>
        </w:rPr>
        <w:t xml:space="preserve"> POE+ (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IEEE 802.3at)</w:t>
      </w:r>
      <w:r>
        <w:rPr>
          <w:rFonts w:eastAsia="Times New Roman" w:cs="Arial" w:ascii="Arial" w:hAnsi="Arial"/>
          <w:color w:val="000000"/>
          <w:lang w:eastAsia="pl-PL"/>
        </w:rPr>
        <w:t xml:space="preserve"> lub POE++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 xml:space="preserve"> (IEEE 802.3bt (Type 3));</w:t>
      </w:r>
    </w:p>
    <w:p>
      <w:pPr>
        <w:pStyle w:val="Normal"/>
        <w:numPr>
          <w:ilvl w:val="0"/>
          <w:numId w:val="2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obudowa urządzenia powinna zapewnić szczelność na poziomie co najmniej IP55;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 </w:t>
      </w:r>
    </w:p>
    <w:p>
      <w:pPr>
        <w:pStyle w:val="Normal"/>
        <w:numPr>
          <w:ilvl w:val="0"/>
          <w:numId w:val="2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wymiary nie przekraczające 200x80x50mm.</w:t>
      </w:r>
    </w:p>
    <w:p>
      <w:pPr>
        <w:pStyle w:val="Normal"/>
        <w:spacing w:lineRule="auto" w:line="360" w:before="0" w:after="0"/>
        <w:ind w:left="720" w:hanging="0"/>
        <w:textAlignment w:val="baseline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</w:r>
    </w:p>
    <w:p>
      <w:pPr>
        <w:pStyle w:val="Normal"/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b/>
          <w:bCs/>
          <w:color w:val="000000"/>
          <w:lang w:eastAsia="pl-PL"/>
        </w:rPr>
        <w:t>c) Komputer typu miniPC</w:t>
      </w:r>
    </w:p>
    <w:p>
      <w:pPr>
        <w:pStyle w:val="Normal"/>
        <w:spacing w:lineRule="auto" w:line="360" w:before="0" w:after="0"/>
        <w:jc w:val="both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Urządzenie musi posiadać cechy charakterystyczne dla komputerów przemysłowych przystosowanych do pracy w wymagających warunkach.  </w:t>
        <w:br/>
        <w:t>Specyfikacja techniczna: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procesor dwurdzeniowy z serii Intel Apollo Lake lub równoważny;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Zasilanie przez POE (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IEEE 802.3af),</w:t>
      </w:r>
      <w:r>
        <w:rPr>
          <w:rFonts w:eastAsia="Times New Roman" w:cs="Arial" w:ascii="Arial" w:hAnsi="Arial"/>
          <w:color w:val="000000"/>
          <w:lang w:eastAsia="pl-PL"/>
        </w:rPr>
        <w:t xml:space="preserve"> POE+ (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>IEEE 802.3at)</w:t>
      </w:r>
      <w:r>
        <w:rPr>
          <w:rFonts w:eastAsia="Times New Roman" w:cs="Arial" w:ascii="Arial" w:hAnsi="Arial"/>
          <w:color w:val="000000"/>
          <w:lang w:eastAsia="pl-PL"/>
        </w:rPr>
        <w:t xml:space="preserve"> lub POE++</w:t>
      </w:r>
      <w:r>
        <w:rPr>
          <w:rFonts w:eastAsia="Times New Roman" w:cs="Arial" w:ascii="Arial" w:hAnsi="Arial"/>
          <w:color w:val="222222"/>
          <w:shd w:fill="FFFFFF" w:val="clear"/>
          <w:lang w:eastAsia="pl-PL"/>
        </w:rPr>
        <w:t xml:space="preserve"> (IEEE 802.3bt (Type 3));</w:t>
      </w:r>
      <w:r>
        <w:rPr>
          <w:rFonts w:eastAsia="Times New Roman" w:cs="Arial" w:ascii="Arial" w:hAnsi="Arial"/>
          <w:color w:val="000000"/>
          <w:lang w:eastAsia="pl-PL"/>
        </w:rPr>
        <w:t> 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dysk M.2 SATA min. 32 GB;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pamięć RAM min. 4 GB;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praca w temperaturze -20 °C do +50 °C;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chłodzenie pasywne bezwentylatorowe;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zegar RTC podtrzymywany bateryjnie;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dwa porty komunikacyjne LAN;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wsparcie dla systemów operacyjnych Windows 10/Linux,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wymiary nie większe niż: 150 x 150 x 50 mm,</w:t>
      </w:r>
    </w:p>
    <w:p>
      <w:pPr>
        <w:pStyle w:val="Normal"/>
        <w:numPr>
          <w:ilvl w:val="0"/>
          <w:numId w:val="3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uchwyty umożliwiające montaż na płycie montażowej oraz szynie DIN.</w:t>
      </w:r>
    </w:p>
    <w:p>
      <w:pPr>
        <w:pStyle w:val="Normal"/>
        <w:spacing w:lineRule="auto" w:line="360" w:before="0" w:after="0"/>
        <w:ind w:left="720" w:hanging="0"/>
        <w:textAlignment w:val="baseline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360" w:before="0" w:after="0"/>
        <w:jc w:val="both"/>
        <w:outlineLvl w:val="1"/>
        <w:rPr>
          <w:rFonts w:ascii="Arial" w:hAnsi="Arial"/>
        </w:rPr>
      </w:pPr>
      <w:r>
        <w:rPr>
          <w:rFonts w:eastAsia="Times New Roman" w:cs="Arial" w:ascii="Arial" w:hAnsi="Arial"/>
          <w:b/>
          <w:bCs/>
          <w:color w:val="000000"/>
          <w:lang w:eastAsia="pl-PL"/>
        </w:rPr>
        <w:t>d) Przełącznik sieciowy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lineRule="auto" w:line="360" w:before="0" w:after="0"/>
        <w:jc w:val="both"/>
        <w:outlineLvl w:val="1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Przełącznik powinien oferować pełną zarządzalność w szczególności aktywację/dezaktywację zasilania poszczególnych portów. Dostęp do urządzenia musi być możliwy poprzez graficzny interfejs użytkownika oraz interfejs programistycznego linii komend (CLI) z wykorzystaniem protokołu SSH. </w:t>
      </w:r>
    </w:p>
    <w:p>
      <w:pPr>
        <w:pStyle w:val="Normal"/>
        <w:numPr>
          <w:ilvl w:val="0"/>
          <w:numId w:val="0"/>
        </w:numPr>
        <w:spacing w:lineRule="auto" w:line="360" w:before="0" w:after="0"/>
        <w:jc w:val="both"/>
        <w:outlineLvl w:val="1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Specyfikacja techniczna urządzenia:</w:t>
      </w:r>
    </w:p>
    <w:p>
      <w:pPr>
        <w:pStyle w:val="Normal"/>
        <w:numPr>
          <w:ilvl w:val="0"/>
          <w:numId w:val="4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val="en-GB" w:eastAsia="pl-PL"/>
        </w:rPr>
        <w:t>8 portów Gigabit Ethernet RJ45;</w:t>
      </w:r>
    </w:p>
    <w:p>
      <w:pPr>
        <w:pStyle w:val="Normal"/>
        <w:numPr>
          <w:ilvl w:val="0"/>
          <w:numId w:val="4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2 porty SFP+/SFP ;</w:t>
      </w:r>
    </w:p>
    <w:p>
      <w:pPr>
        <w:pStyle w:val="Normal"/>
        <w:numPr>
          <w:ilvl w:val="0"/>
          <w:numId w:val="4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zasilanie POE+ IEEE 802.3at/af and 24V Passive PoE na wszystkich portach;</w:t>
      </w:r>
    </w:p>
    <w:p>
      <w:pPr>
        <w:pStyle w:val="Normal"/>
        <w:numPr>
          <w:ilvl w:val="0"/>
          <w:numId w:val="4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uchwyty umożliwiające montaż na płycie montażowej.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360" w:after="120"/>
        <w:outlineLvl w:val="1"/>
        <w:rPr>
          <w:rFonts w:ascii="Arial" w:hAnsi="Arial"/>
          <w:b/>
          <w:b/>
          <w:bCs/>
        </w:rPr>
      </w:pPr>
      <w:r>
        <w:rPr>
          <w:rFonts w:eastAsia="Times New Roman" w:cs="Arial" w:ascii="Arial" w:hAnsi="Arial"/>
          <w:b/>
          <w:bCs/>
          <w:color w:val="000000"/>
          <w:lang w:eastAsia="pl-PL"/>
        </w:rPr>
        <w:t>e) Serwer </w:t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Specyfikacja techniczna urządzenia: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Procesor o parametrach odpowiadających minimum Intel® Xeon® Silver 4100;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Płyta główna pozwalająca na obsługę co najmniej dwóch procesorów;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Sprzętowy kontroler RAID z możliwością podłączenia od 2 do 4 dysków w konfiguracji RAID-0, RAID-1, RAID-10 lub RAID-50 z podtrzymaniem bateryjnym i własną pamięcią o rozmiarze minimum 1 GB umożliwiający obsługę dysków hot-swap;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Możliwość montażu dysków HDD, SSD;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Minimalnie 2 dyski o pojemności 300 GB każdy;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Pamięć operacyjna DDR4 z możliwością instalacji minimum 8 modułów pamięci zarejestrowanych z funkcją ECC, płyta główna musi umożliwiać obsługę minimum 128 GB pamięci RAM;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Minimalna pojemność pamięci RAM powinna wynosić 16GB;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Karta sieciowa z co najmniej dwoma wyjściami o prędkości 1 GbE;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możliwość pracy z systemem operacyjnym Linux;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Obudowa rack umożliwiająca montaż w szafie serwerowej;</w:t>
      </w:r>
    </w:p>
    <w:p>
      <w:pPr>
        <w:pStyle w:val="Normal"/>
        <w:numPr>
          <w:ilvl w:val="0"/>
          <w:numId w:val="5"/>
        </w:numPr>
        <w:spacing w:lineRule="auto" w:line="360" w:before="0" w:after="0"/>
        <w:textAlignment w:val="baseline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Konsola zarządzania serwerem dostarczona przez jego producenta.</w:t>
      </w:r>
    </w:p>
    <w:p>
      <w:pPr>
        <w:pStyle w:val="Normal"/>
        <w:spacing w:lineRule="auto" w:line="360" w:before="0" w:after="0"/>
        <w:textAlignment w:val="baseline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Cs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3. </w:t>
      </w:r>
      <w:r>
        <w:rPr>
          <w:rFonts w:cs="Arial" w:ascii="Arial" w:hAnsi="Arial"/>
          <w:iCs/>
        </w:rPr>
        <w:t>Warunki świadczenia usług asysty technicznej i serwisu gwarancyjnego w okresie gwarancji: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cs="Arial" w:ascii="Arial" w:hAnsi="Arial"/>
          <w:iCs/>
        </w:rPr>
        <w:t>Wykonawca w ramach usługi asysty technicznej zobowiązany jest do przeprowadzenia testów gotowości urządzeń stanowiących przedmiot dostawy każdorazowo w dzień imprezy oraz 3 dni poprzedzające imprezę masową. Asysta techniczna będzie świadczona w trakcie 6 imprez masowych wskazanych przez Zamawiającego w ciągu pierwszego  roku od momentu instalacji i odbioru urządzeń.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Całość dostawy zostanie objęta minimum 24 miesięczną (zgodną z okresem wskazanym w Ofercie Wykonawcy) gwarancją jakości udzielonej przez Wykonawcę w trybie wymiany w miejscu działania. Wszystkie urządzenia wchodzące w skład dostawy muszą być fabrycznie nowe, rok produkcji 2020,  posiadać certyfikaty CE lub deklarację zgodności wg. polskiej normy.</w:t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eastAsia="Times New Roman" w:cs="Arial" w:ascii="Arial" w:hAnsi="Arial"/>
          <w:lang w:eastAsia="pl-PL"/>
        </w:rPr>
        <w:t xml:space="preserve">W ramach udzielonej gwarancji jakości Wykonawca zobowiązany jest </w:t>
      </w:r>
      <w:r>
        <w:rPr>
          <w:rFonts w:eastAsia="Times New Roman" w:cs="Arial" w:ascii="Arial" w:hAnsi="Arial"/>
          <w:color w:val="000000"/>
          <w:lang w:eastAsia="pl-PL"/>
        </w:rPr>
        <w:t xml:space="preserve"> do naprawy lub wymiany uszkodzonych urządzeń w celu zapewnienia ciągłości działania Systemu Kontroli Biletów. 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Przywrócenie całkowitej sprawności urządzeń odbędzie się z uwzględnieniem następujących wskazań czasowych odpowiadających potrzebom gotowości obiektu do obsługi imprez:   </w:t>
        <w:br/>
        <w:t xml:space="preserve">a) okres bezczynności obiektu oznaczający, iż w ciągu najbliższych 20 dni kalendarzowych nie jest planowana żadna impreza masowa - </w:t>
      </w:r>
      <w:r>
        <w:rPr>
          <w:rFonts w:eastAsia="Times New Roman" w:cs="Arial" w:ascii="Arial" w:hAnsi="Arial"/>
          <w:b/>
          <w:bCs/>
          <w:color w:val="000000"/>
          <w:lang w:eastAsia="pl-PL"/>
        </w:rPr>
        <w:t>czas na naprawę 14 dni</w:t>
      </w:r>
      <w:r>
        <w:rPr>
          <w:rFonts w:eastAsia="Times New Roman" w:cs="Arial" w:ascii="Arial" w:hAnsi="Arial"/>
          <w:color w:val="000000"/>
          <w:lang w:eastAsia="pl-PL"/>
        </w:rPr>
        <w:t>;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b) okres utrzymania gotowości do imprezy oznaczający, iż w okresie krótszym niż 14 dni kalendarzowych planowana jest impreza masowa - </w:t>
      </w:r>
      <w:r>
        <w:rPr>
          <w:rFonts w:eastAsia="Times New Roman" w:cs="Arial" w:ascii="Arial" w:hAnsi="Arial"/>
          <w:b/>
          <w:bCs/>
          <w:color w:val="000000"/>
          <w:lang w:eastAsia="pl-PL"/>
        </w:rPr>
        <w:t>czas na naprawę 7 dni</w:t>
      </w:r>
      <w:r>
        <w:rPr>
          <w:rFonts w:eastAsia="Times New Roman" w:cs="Arial" w:ascii="Arial" w:hAnsi="Arial"/>
          <w:color w:val="000000"/>
          <w:lang w:eastAsia="pl-PL"/>
        </w:rPr>
        <w:t>;  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c) okres przygotowania do imprezy oznaczający, iż w okresie krótszym niż 7 dni kalendarzowych planowana jest impreza masowa - </w:t>
      </w:r>
      <w:r>
        <w:rPr>
          <w:rFonts w:eastAsia="Times New Roman" w:cs="Arial" w:ascii="Arial" w:hAnsi="Arial"/>
          <w:b/>
          <w:bCs/>
          <w:color w:val="000000"/>
          <w:lang w:eastAsia="pl-PL"/>
        </w:rPr>
        <w:t>czas na naprawę 3 dni</w:t>
      </w:r>
      <w:r>
        <w:rPr>
          <w:rFonts w:eastAsia="Times New Roman" w:cs="Arial" w:ascii="Arial" w:hAnsi="Arial"/>
          <w:color w:val="000000"/>
          <w:lang w:eastAsia="pl-PL"/>
        </w:rPr>
        <w:t>;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d) Okres imprezy oznaczający, iż na obiekcie przygotowywana jest impreza masowa, która odbędzie się w ciągu 3 dni kalendarzowych - </w:t>
      </w:r>
      <w:r>
        <w:rPr>
          <w:rFonts w:eastAsia="Times New Roman" w:cs="Arial" w:ascii="Arial" w:hAnsi="Arial"/>
          <w:b/>
          <w:bCs/>
          <w:color w:val="000000"/>
          <w:lang w:eastAsia="pl-PL"/>
        </w:rPr>
        <w:t>czas na naprawę 24h</w:t>
      </w:r>
      <w:r>
        <w:rPr>
          <w:rFonts w:eastAsia="Times New Roman" w:cs="Arial" w:ascii="Arial" w:hAnsi="Arial"/>
          <w:color w:val="000000"/>
          <w:lang w:eastAsia="pl-PL"/>
        </w:rPr>
        <w:t>;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  <w:t>Zgłoszenia będą kierowane na adres poczty elektronicznej wskazanej przez Wykonawcę w umowie i  protokole powykonawczym przez osoby reprezentujące Zamawiającego lub reprezentujące dzierżawcę Stadionu Miejskiego przy ul. Bułgarskiej 17 w Poznaniu wyznaczone do obsługi  Systemu Kontroli Biletów.  Przyjęcie każdego zgłoszenia zostanie potwierdzone przez Wykonawcę mailem zwrotnym informującym o przyjęciu zgłoszenia do realizacji – nie później niż w ciągu 12h od jego wysłania na wskazany przez Wykonawcę adres e-mail.</w:t>
      </w:r>
    </w:p>
    <w:p>
      <w:pPr>
        <w:pStyle w:val="Normal"/>
        <w:spacing w:lineRule="auto" w:line="360" w:before="0" w:after="0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lang w:eastAsia="pl-PL"/>
        </w:rPr>
        <w:t>4. Ogólne uwagi dotyczące zamówienia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Urządzenia powinny być dostarczone w oryginalnych opakowaniach lub opakowaniach zbiorczych umożliwiających ich swobodny transport (opakowanie kartonowe). Zamówienie nie obejmuje konfiguracji zamontowanych urządzeń z oprogramowaniem dzierżawcy Stadionu, tj. KKS Lech Poznań, które to zadanie będzie realizowane przez Wykonawcę działającego na zlecenie KKS Lech Poznań. Wykonawca niniejszego zamówienia zobowiązany jest do uzgodnienia z Zamawiającym i KKS Lech Poznań harmonogramu realizacji dostaw i montażu urządzeń objętych niniejszym zamówieniem.  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cs="Arial" w:ascii="Arial" w:hAnsi="Arial"/>
        </w:rPr>
        <w:t>Wykonawca zobowiązany jest do przeszkolenia wskazanego przez Zamawiającego personelu w obsłudze administracyjnej (max 3 osoby) i obsłudze operatorskiej (max 10 osób) – zainstalowanych urządzeń zgodnie z instrukcjami producentów tych urządzeń i zaleceniami Wykonawcy w zakresie prawidłowej i bezpiecznej eksploatacji urządzeń w terminie ustalonym z Zamawiającym.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</w:rPr>
        <w:t>Szkolenie pracowników musi odbyć się przed dokonaniem odbioru końcowego.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color w:val="000000"/>
          <w:lang w:eastAsia="pl-PL"/>
        </w:rPr>
      </w:pPr>
      <w:r>
        <w:rPr>
          <w:rFonts w:eastAsia="Times New Roman" w:cs="Arial" w:ascii="Arial" w:hAnsi="Arial"/>
          <w:color w:val="000000"/>
          <w:lang w:eastAsia="pl-PL"/>
        </w:rPr>
        <w:t xml:space="preserve">Rekomendowanym jest aby Wykonawca przeprowadził wizję lokalną w celu zapoznania się ze stanem infrastruktury Systemu Kontroli Biletów na Stadionie, w czasie uzgodnionym z Zamawiającym, z zastrzeżeniem ewentualnych ograniczeń, które mogą być wprowadzone w tym zakresie z związku ze stanem epidemii COVID-19. 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 w:before="0" w:after="160"/>
        <w:jc w:val="both"/>
        <w:rPr>
          <w:rFonts w:ascii="Arial" w:hAnsi="Arial"/>
          <w:shd w:fill="FFFF00" w:val="clear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cc4ca6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Nagwek2">
    <w:name w:val="Heading 2"/>
    <w:basedOn w:val="Normal"/>
    <w:link w:val="Nagwek2Znak"/>
    <w:uiPriority w:val="9"/>
    <w:qFormat/>
    <w:rsid w:val="00cc4ca6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cc4ca6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cc4ca6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57d79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cc4ca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wstpniesformatowany" w:customStyle="1">
    <w:name w:val="Tekst wstępnie sformatowany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57d7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BF2CF-B55D-4738-B2B6-7F8AD7C68B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0C9EA6-80B6-453A-8170-2BF371D3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857F01-1766-4317-993C-9B13E0DC8D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LibreOffice/7.0.2.2$Windows_X86_64 LibreOffice_project/8349ace3c3162073abd90d81fd06dcfb6b36b994</Application>
  <Pages>7</Pages>
  <Words>1810</Words>
  <Characters>11884</Characters>
  <CharactersWithSpaces>13616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2020-11-16T09:44:00Z</dcterms:created>
  <dc:creator>Daniel Zieliński</dc:creator>
  <dc:description/>
  <dc:language>pl-PL</dc:language>
  <cp:lastModifiedBy>Filip Waligóra</cp:lastModifiedBy>
  <cp:lastPrinted>2020-11-17T08:36:32Z</cp:lastPrinted>
  <dcterms:modified xsi:type="dcterms:W3CDTF">2020-11-16T09:44:00Z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0x01010021A03B4854A1D0438FE33930BC6E6FF2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