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highlight w:val="white"/>
          <w:highlight w:val="white"/>
          <w:lang w:val="pl-PL" w:eastAsia="zxx" w:bidi="ar-SA"/>
        </w:rPr>
        <w:t>„S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highlight w:val="white"/>
          <w:highlight w:val="white"/>
          <w:lang w:val="pl-PL" w:eastAsia="zxx" w:bidi="ar-SA"/>
        </w:rPr>
        <w:t>ukcesywna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highlight w:val="white"/>
          <w:highlight w:val="white"/>
          <w:lang w:val="pl-PL" w:eastAsia="zxx" w:bidi="ar-SA"/>
        </w:rPr>
        <w:t xml:space="preserve"> dostawa artykułów elektrycznych i elektrotechnicznych 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highlight w:val="white"/>
          <w:highlight w:val="white"/>
          <w:lang w:val="pl-PL" w:eastAsia="zxx" w:bidi="ar-SA"/>
        </w:rPr>
        <w:t>na potrzeby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highlight w:val="white"/>
          <w:highlight w:val="white"/>
          <w:lang w:val="pl-PL" w:eastAsia="zxx" w:bidi="ar-SA"/>
        </w:rPr>
        <w:t xml:space="preserve"> Poznańskich Ośrodków Sportu i Rekreacji w Poznaniu”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LibreOffice/6.3.4.2$Windows_X86_64 LibreOffice_project/60da17e045e08f1793c57c00ba83cdfce946d0aa</Application>
  <Pages>3</Pages>
  <Words>240</Words>
  <Characters>1930</Characters>
  <CharactersWithSpaces>2568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2020-08-14T13:28:13Z</dcterms:modified>
  <cp:revision>25</cp:revision>
  <dc:subject/>
  <dc:title/>
</cp:coreProperties>
</file>