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 xml:space="preserve">3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ul. 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Na potrzeby postępowania o udzielenie zamówienia publicznego                                          pn: </w:t>
      </w:r>
      <w:r>
        <w:rPr>
          <w:rFonts w:eastAsia="Times New Roman" w:cs="Arial" w:ascii="Arial" w:hAnsi="Arial"/>
          <w:b/>
          <w:bCs/>
          <w:i/>
          <w:color w:val="auto"/>
          <w:spacing w:val="0"/>
          <w:kern w:val="0"/>
          <w:sz w:val="20"/>
          <w:szCs w:val="20"/>
          <w:highlight w:val="white"/>
          <w:lang w:val="pl-PL" w:eastAsia="zh-CN" w:bidi="ar-SA"/>
        </w:rPr>
        <w:t xml:space="preserve">Usługi sprzątania terenów i obiektów Oddziału Malta przy ul. Wiankowej 3 w Poznaniu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prowadzonego przez Miasto Poznań - Poznańskie Ośrodki Sportu i Rekreacji. 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LibreOffice/6.3.4.2$Windows_X86_64 LibreOffice_project/60da17e045e08f1793c57c00ba83cdfce946d0aa</Application>
  <Pages>4</Pages>
  <Words>382</Words>
  <Characters>2814</Characters>
  <CharactersWithSpaces>3630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2020-03-11T10:08:29Z</dcterms:modified>
  <cp:revision>25</cp:revision>
  <dc:subject/>
  <dc:title/>
</cp:coreProperties>
</file>